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eastAsia="zh-CN"/>
        </w:rPr>
        <w:t>缓冲蛋白胨水培养基</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eastAsia="zh-CN"/>
              </w:rPr>
              <w:t>缓冲蛋白胨水培养基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K0314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用于食品检验中沙门氏菌，阪崎肠杆菌的前增菌培养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eastAsia" w:ascii="Arial" w:hAnsi="Arial" w:cs="Arial"/>
          <w:sz w:val="21"/>
          <w:szCs w:val="21"/>
          <w:vertAlign w:val="baseline"/>
          <w:lang w:val="en-US" w:eastAsia="zh-CN"/>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称取本品20.0g，置于1L蒸馏水中。加热搅拌至完全溶解，分装，121℃高压灭菌15min，放置冷却，备用。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056" w:tblpY="810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51"/>
        <w:gridCol w:w="2255"/>
        <w:gridCol w:w="1289"/>
        <w:gridCol w:w="1003"/>
        <w:gridCol w:w="44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6" w:hRule="exact"/>
        </w:trPr>
        <w:tc>
          <w:tcPr>
            <w:tcW w:w="0" w:type="auto"/>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微生物灵敏度检测</w:t>
            </w:r>
          </w:p>
        </w:tc>
        <w:tc>
          <w:tcPr>
            <w:tcW w:w="0" w:type="auto"/>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0" w:type="auto"/>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0" w:type="auto"/>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val="en-US" w:eastAsia="zh-CN"/>
              </w:rPr>
              <w:t>计数培养基</w:t>
            </w:r>
          </w:p>
        </w:tc>
        <w:tc>
          <w:tcPr>
            <w:tcW w:w="0" w:type="auto"/>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val="en-US" w:eastAsia="zh-CN"/>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0" w:type="auto"/>
            <w:vMerge w:val="continue"/>
            <w:noWrap w:val="0"/>
            <w:vAlign w:val="center"/>
          </w:tcPr>
          <w:p>
            <w:pPr>
              <w:jc w:val="center"/>
              <w:rPr>
                <w:rFonts w:hint="default" w:ascii="Arial" w:hAnsi="Arial" w:eastAsia="宋体" w:cs="Arial"/>
                <w:b/>
                <w:sz w:val="24"/>
                <w:szCs w:val="24"/>
              </w:rPr>
            </w:pPr>
          </w:p>
        </w:tc>
        <w:tc>
          <w:tcPr>
            <w:tcW w:w="0" w:type="auto"/>
            <w:noWrap w:val="0"/>
            <w:vAlign w:val="center"/>
          </w:tcPr>
          <w:p>
            <w:pPr>
              <w:jc w:val="both"/>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鼠伤寒</w:t>
            </w:r>
            <w:r>
              <w:rPr>
                <w:rFonts w:hint="default" w:ascii="Arial" w:hAnsi="Arial" w:eastAsia="宋体" w:cs="Arial"/>
                <w:sz w:val="21"/>
                <w:szCs w:val="21"/>
              </w:rPr>
              <w:t>沙门氏</w:t>
            </w:r>
            <w:r>
              <w:rPr>
                <w:rFonts w:hint="default" w:ascii="Arial" w:hAnsi="Arial" w:eastAsia="宋体" w:cs="Arial"/>
                <w:sz w:val="21"/>
                <w:szCs w:val="21"/>
                <w:lang w:eastAsia="zh-CN"/>
              </w:rPr>
              <w:t>菌</w:t>
            </w:r>
            <w:r>
              <w:rPr>
                <w:rFonts w:hint="default" w:ascii="Arial" w:hAnsi="Arial" w:eastAsia="宋体" w:cs="Arial"/>
                <w:sz w:val="21"/>
                <w:szCs w:val="21"/>
                <w:lang w:val="en-US" w:eastAsia="zh-CN"/>
              </w:rPr>
              <w:t>ATCC14028</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TSA</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kern w:val="2"/>
                <w:sz w:val="21"/>
                <w:szCs w:val="21"/>
                <w:lang w:val="en-US" w:eastAsia="zh-CN" w:bidi="ar-SA"/>
              </w:rPr>
              <w:t>取10ul增菌液倾注TSA平板</w:t>
            </w:r>
            <w:r>
              <w:rPr>
                <w:rFonts w:hint="default" w:ascii="Arial" w:hAnsi="Arial" w:eastAsia="宋体" w:cs="Arial"/>
                <w:sz w:val="21"/>
                <w:szCs w:val="21"/>
                <w:lang w:val="en-US" w:eastAsia="zh-CN"/>
              </w:rPr>
              <w:t>36±1℃培养18-24h</w:t>
            </w:r>
            <w:r>
              <w:rPr>
                <w:rFonts w:hint="default" w:ascii="Arial" w:hAnsi="Arial" w:eastAsia="宋体" w:cs="Arial"/>
                <w:kern w:val="2"/>
                <w:sz w:val="21"/>
                <w:szCs w:val="21"/>
                <w:lang w:val="en-US" w:eastAsia="zh-CN" w:bidi="ar-SA"/>
              </w:rPr>
              <w:t>，在TSA上＞100cfu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0" w:type="auto"/>
            <w:vMerge w:val="continue"/>
            <w:noWrap w:val="0"/>
            <w:vAlign w:val="center"/>
          </w:tcPr>
          <w:p>
            <w:pPr>
              <w:jc w:val="center"/>
              <w:rPr>
                <w:rFonts w:hint="default" w:ascii="Arial" w:hAnsi="Arial" w:eastAsia="宋体" w:cs="Arial"/>
                <w:b/>
                <w:sz w:val="24"/>
                <w:szCs w:val="24"/>
              </w:rPr>
            </w:pPr>
          </w:p>
        </w:tc>
        <w:tc>
          <w:tcPr>
            <w:tcW w:w="0" w:type="auto"/>
            <w:noWrap w:val="0"/>
            <w:vAlign w:val="center"/>
          </w:tcPr>
          <w:p>
            <w:pPr>
              <w:jc w:val="left"/>
              <w:rPr>
                <w:rFonts w:hint="default" w:ascii="Arial" w:hAnsi="Arial" w:eastAsia="宋体" w:cs="Arial"/>
                <w:kern w:val="2"/>
                <w:sz w:val="21"/>
                <w:szCs w:val="21"/>
                <w:lang w:val="en-US" w:eastAsia="zh-CN" w:bidi="ar-SA"/>
              </w:rPr>
            </w:pPr>
            <w:r>
              <w:rPr>
                <w:rFonts w:hint="default" w:ascii="Arial" w:hAnsi="Arial" w:eastAsia="宋体" w:cs="Arial"/>
                <w:kern w:val="2"/>
                <w:sz w:val="21"/>
                <w:szCs w:val="21"/>
                <w:lang w:val="en-US" w:eastAsia="zh-CN" w:bidi="ar-SA"/>
              </w:rPr>
              <w:t>单增李斯特ATCC19114</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TSA</w:t>
            </w:r>
          </w:p>
        </w:tc>
        <w:tc>
          <w:tcPr>
            <w:tcW w:w="0" w:type="auto"/>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kern w:val="2"/>
                <w:sz w:val="21"/>
                <w:szCs w:val="21"/>
                <w:lang w:val="en-US" w:eastAsia="zh-CN" w:bidi="ar-SA"/>
              </w:rPr>
              <w:t>取10ul增菌液倾注TSA平板</w:t>
            </w:r>
            <w:r>
              <w:rPr>
                <w:rFonts w:hint="default" w:ascii="Arial" w:hAnsi="Arial" w:eastAsia="宋体" w:cs="Arial"/>
                <w:sz w:val="21"/>
                <w:szCs w:val="21"/>
                <w:lang w:val="en-US" w:eastAsia="zh-CN"/>
              </w:rPr>
              <w:t>36±1℃培养18-24h</w:t>
            </w:r>
            <w:r>
              <w:rPr>
                <w:rFonts w:hint="default" w:ascii="Arial" w:hAnsi="Arial" w:eastAsia="宋体" w:cs="Arial"/>
                <w:kern w:val="2"/>
                <w:sz w:val="21"/>
                <w:szCs w:val="21"/>
                <w:lang w:val="en-US" w:eastAsia="zh-CN" w:bidi="ar-SA"/>
              </w:rPr>
              <w:t>，在TSA上＞100cfu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0" w:type="auto"/>
            <w:vMerge w:val="continue"/>
            <w:noWrap w:val="0"/>
            <w:vAlign w:val="center"/>
          </w:tcPr>
          <w:p>
            <w:pPr>
              <w:jc w:val="center"/>
              <w:rPr>
                <w:rFonts w:hint="default" w:ascii="Arial" w:hAnsi="Arial" w:eastAsia="宋体" w:cs="Arial"/>
                <w:b/>
                <w:sz w:val="24"/>
                <w:szCs w:val="24"/>
              </w:rPr>
            </w:pPr>
          </w:p>
        </w:tc>
        <w:tc>
          <w:tcPr>
            <w:tcW w:w="0" w:type="auto"/>
            <w:noWrap w:val="0"/>
            <w:vAlign w:val="center"/>
          </w:tcPr>
          <w:p>
            <w:pPr>
              <w:jc w:val="left"/>
              <w:rPr>
                <w:rFonts w:hint="eastAsia" w:ascii="Arial" w:hAnsi="Arial" w:cs="Arial"/>
                <w:szCs w:val="21"/>
                <w:lang w:val="en-US" w:eastAsia="zh-CN"/>
              </w:rPr>
            </w:pPr>
            <w:r>
              <w:rPr>
                <w:rFonts w:hint="eastAsia" w:ascii="Arial" w:hAnsi="Arial" w:cs="Arial"/>
                <w:kern w:val="2"/>
                <w:sz w:val="21"/>
                <w:szCs w:val="21"/>
                <w:lang w:val="en-US" w:eastAsia="zh-CN" w:bidi="ar-SA"/>
              </w:rPr>
              <w:t>阪崎肠杆菌ATCC25944</w:t>
            </w:r>
          </w:p>
        </w:tc>
        <w:tc>
          <w:tcPr>
            <w:tcW w:w="0" w:type="auto"/>
            <w:noWrap w:val="0"/>
            <w:vAlign w:val="center"/>
          </w:tcPr>
          <w:p>
            <w:pPr>
              <w:jc w:val="center"/>
              <w:rPr>
                <w:rFonts w:hint="eastAsia" w:ascii="Arial" w:hAnsi="Arial" w:cs="Arial"/>
                <w:szCs w:val="21"/>
              </w:rPr>
            </w:pPr>
            <w:r>
              <w:rPr>
                <w:rFonts w:hint="default" w:ascii="Arial" w:hAnsi="Arial" w:eastAsia="宋体" w:cs="Arial"/>
                <w:sz w:val="21"/>
                <w:szCs w:val="21"/>
                <w:lang w:val="en-US" w:eastAsia="zh-CN"/>
              </w:rPr>
              <w:t>10-100</w:t>
            </w:r>
          </w:p>
        </w:tc>
        <w:tc>
          <w:tcPr>
            <w:tcW w:w="0" w:type="auto"/>
            <w:noWrap w:val="0"/>
            <w:vAlign w:val="center"/>
          </w:tcPr>
          <w:p>
            <w:pPr>
              <w:jc w:val="center"/>
              <w:rPr>
                <w:rFonts w:hint="eastAsia" w:ascii="Arial" w:hAnsi="Arial" w:cs="Arial"/>
                <w:szCs w:val="21"/>
                <w:lang w:val="en-US" w:eastAsia="zh-CN"/>
              </w:rPr>
            </w:pPr>
            <w:r>
              <w:rPr>
                <w:rFonts w:hint="default" w:ascii="Arial" w:hAnsi="Arial" w:eastAsia="宋体" w:cs="Arial"/>
                <w:sz w:val="21"/>
                <w:szCs w:val="21"/>
                <w:lang w:val="en-US" w:eastAsia="zh-CN"/>
              </w:rPr>
              <w:t>TSA</w:t>
            </w:r>
          </w:p>
        </w:tc>
        <w:tc>
          <w:tcPr>
            <w:tcW w:w="0" w:type="auto"/>
            <w:noWrap w:val="0"/>
            <w:vAlign w:val="center"/>
          </w:tcPr>
          <w:p>
            <w:pPr>
              <w:jc w:val="both"/>
              <w:rPr>
                <w:rFonts w:hint="eastAsia"/>
                <w:lang w:val="en-US" w:eastAsia="zh-CN"/>
              </w:rPr>
            </w:pPr>
            <w:r>
              <w:rPr>
                <w:rFonts w:hint="default" w:ascii="Arial" w:hAnsi="Arial" w:eastAsia="宋体" w:cs="Arial"/>
                <w:kern w:val="2"/>
                <w:sz w:val="21"/>
                <w:szCs w:val="21"/>
                <w:lang w:val="en-US" w:eastAsia="zh-CN" w:bidi="ar-SA"/>
              </w:rPr>
              <w:t>取10ul增菌液倾注TSA平板</w:t>
            </w:r>
            <w:r>
              <w:rPr>
                <w:rFonts w:hint="default" w:ascii="Arial" w:hAnsi="Arial" w:eastAsia="宋体" w:cs="Arial"/>
                <w:sz w:val="21"/>
                <w:szCs w:val="21"/>
                <w:lang w:val="en-US" w:eastAsia="zh-CN"/>
              </w:rPr>
              <w:t>36±1℃培养18-24h</w:t>
            </w:r>
            <w:r>
              <w:rPr>
                <w:rFonts w:hint="default" w:ascii="Arial" w:hAnsi="Arial" w:eastAsia="宋体" w:cs="Arial"/>
                <w:kern w:val="2"/>
                <w:sz w:val="21"/>
                <w:szCs w:val="21"/>
                <w:lang w:val="en-US" w:eastAsia="zh-CN" w:bidi="ar-SA"/>
              </w:rPr>
              <w:t>，在TSA上＞100cfu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4" w:hRule="exact"/>
        </w:trPr>
        <w:tc>
          <w:tcPr>
            <w:tcW w:w="0" w:type="auto"/>
            <w:vMerge w:val="continue"/>
            <w:noWrap w:val="0"/>
            <w:vAlign w:val="center"/>
          </w:tcPr>
          <w:p>
            <w:pPr>
              <w:jc w:val="center"/>
              <w:rPr>
                <w:rFonts w:hint="default" w:ascii="Arial" w:hAnsi="Arial" w:eastAsia="宋体" w:cs="Arial"/>
                <w:b/>
                <w:sz w:val="24"/>
                <w:szCs w:val="24"/>
              </w:rPr>
            </w:pPr>
          </w:p>
        </w:tc>
        <w:tc>
          <w:tcPr>
            <w:tcW w:w="0" w:type="auto"/>
            <w:gridSpan w:val="4"/>
            <w:noWrap w:val="0"/>
            <w:vAlign w:val="center"/>
          </w:tcPr>
          <w:p>
            <w:pPr>
              <w:jc w:val="left"/>
              <w:rPr>
                <w:rFonts w:hint="eastAsia" w:ascii="Arial" w:hAnsi="Arial" w:eastAsia="宋体" w:cs="Arial"/>
                <w:kern w:val="2"/>
                <w:sz w:val="21"/>
                <w:szCs w:val="21"/>
                <w:lang w:val="en-US" w:eastAsia="zh-CN" w:bidi="ar-SA"/>
              </w:rPr>
            </w:pPr>
            <w:r>
              <w:rPr>
                <w:rFonts w:hint="default" w:ascii="Arial" w:hAnsi="Arial" w:eastAsia="宋体" w:cs="Arial"/>
                <w:sz w:val="21"/>
                <w:szCs w:val="21"/>
                <w:lang w:eastAsia="zh-CN"/>
              </w:rPr>
              <w:t>备注：</w:t>
            </w:r>
            <w:r>
              <w:rPr>
                <w:rFonts w:hint="default" w:ascii="Arial" w:hAnsi="Arial" w:eastAsia="宋体" w:cs="Arial"/>
                <w:sz w:val="21"/>
                <w:szCs w:val="21"/>
                <w:lang w:val="en-US" w:eastAsia="zh-CN"/>
              </w:rPr>
              <w:t>36±1℃培养8h。</w:t>
            </w:r>
          </w:p>
        </w:tc>
      </w:tr>
    </w:tbl>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ind w:firstLine="2168" w:firstLineChars="600"/>
        <w:rPr>
          <w:rFonts w:ascii="Arial" w:hAnsi="Arial" w:cs="Arial"/>
          <w:b/>
          <w:bCs/>
          <w:color w:val="000000"/>
          <w:sz w:val="36"/>
          <w:szCs w:val="36"/>
        </w:rPr>
      </w:pPr>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bookmarkStart w:id="0" w:name="_GoBack"/>
      <w:bookmarkEnd w:id="0"/>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85697E"/>
    <w:rsid w:val="11D23302"/>
    <w:rsid w:val="12CC7C08"/>
    <w:rsid w:val="12EF2F7B"/>
    <w:rsid w:val="13B92F33"/>
    <w:rsid w:val="13CA1B57"/>
    <w:rsid w:val="13F174FB"/>
    <w:rsid w:val="144B5E39"/>
    <w:rsid w:val="14902E44"/>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52157AC"/>
    <w:rsid w:val="25742F35"/>
    <w:rsid w:val="26001FEC"/>
    <w:rsid w:val="269446AD"/>
    <w:rsid w:val="26C203BF"/>
    <w:rsid w:val="26EE6ABA"/>
    <w:rsid w:val="27EF40FF"/>
    <w:rsid w:val="28506A5D"/>
    <w:rsid w:val="285327B8"/>
    <w:rsid w:val="28D449CC"/>
    <w:rsid w:val="296573BD"/>
    <w:rsid w:val="29C51C83"/>
    <w:rsid w:val="2B406E77"/>
    <w:rsid w:val="2BEE7A66"/>
    <w:rsid w:val="2C024ABA"/>
    <w:rsid w:val="2C041FFC"/>
    <w:rsid w:val="2C9E2FB3"/>
    <w:rsid w:val="2D4105F7"/>
    <w:rsid w:val="2E4F3DC6"/>
    <w:rsid w:val="2EF75FD7"/>
    <w:rsid w:val="30EA45E4"/>
    <w:rsid w:val="31055D69"/>
    <w:rsid w:val="31813D45"/>
    <w:rsid w:val="322068F8"/>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3F870391"/>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6F7A2D"/>
    <w:rsid w:val="44872A34"/>
    <w:rsid w:val="448D38BC"/>
    <w:rsid w:val="44E441DB"/>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F416810"/>
    <w:rsid w:val="4FCD7D2E"/>
    <w:rsid w:val="506C0D6F"/>
    <w:rsid w:val="50BB3908"/>
    <w:rsid w:val="50F47229"/>
    <w:rsid w:val="511419EF"/>
    <w:rsid w:val="511F6738"/>
    <w:rsid w:val="513E2751"/>
    <w:rsid w:val="515A69D1"/>
    <w:rsid w:val="51B178D7"/>
    <w:rsid w:val="51DC2BA6"/>
    <w:rsid w:val="523A5430"/>
    <w:rsid w:val="52632BF1"/>
    <w:rsid w:val="5342512E"/>
    <w:rsid w:val="536430CC"/>
    <w:rsid w:val="564451BE"/>
    <w:rsid w:val="5681080A"/>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FE7613"/>
    <w:rsid w:val="626B0966"/>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0</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2023-12-23T04:30:25Z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