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cs="Arial"/>
          <w:b/>
          <w:bCs/>
          <w:sz w:val="36"/>
          <w:szCs w:val="36"/>
        </w:rPr>
      </w:pPr>
      <w:r>
        <w:rPr>
          <w:rFonts w:hint="eastAsia" w:ascii="Arial" w:hAnsi="Arial" w:cs="Arial"/>
          <w:b/>
          <w:bCs/>
          <w:sz w:val="36"/>
          <w:szCs w:val="36"/>
          <w:lang w:eastAsia="zh-CN"/>
        </w:rPr>
        <w:t>月桂基硫酸盐胰蛋白胨（</w:t>
      </w:r>
      <w:r>
        <w:rPr>
          <w:rFonts w:hint="eastAsia" w:ascii="Arial" w:hAnsi="Arial" w:cs="Arial"/>
          <w:b/>
          <w:bCs/>
          <w:sz w:val="36"/>
          <w:szCs w:val="36"/>
          <w:lang w:val="en-US" w:eastAsia="zh-CN"/>
        </w:rPr>
        <w:t>LST</w:t>
      </w:r>
      <w:r>
        <w:rPr>
          <w:rFonts w:hint="eastAsia" w:ascii="Arial" w:hAnsi="Arial" w:cs="Arial"/>
          <w:b/>
          <w:bCs/>
          <w:sz w:val="36"/>
          <w:szCs w:val="36"/>
          <w:lang w:eastAsia="zh-CN"/>
        </w:rPr>
        <w:t>）肉汤</w:t>
      </w:r>
      <w:r>
        <w:rPr>
          <w:rFonts w:ascii="Arial" w:hAnsi="Arial" w:cs="Arial"/>
          <w:b/>
          <w:bCs/>
          <w:sz w:val="36"/>
          <w:szCs w:val="36"/>
        </w:rPr>
        <w:t>产品说明</w:t>
      </w:r>
    </w:p>
    <w:p>
      <w:pPr>
        <w:spacing w:line="360" w:lineRule="auto"/>
        <w:rPr>
          <w:rFonts w:ascii="Arial" w:hAnsi="Arial" w:cs="Arial"/>
          <w:b/>
          <w:bCs/>
          <w:sz w:val="36"/>
          <w:szCs w:val="36"/>
        </w:rPr>
      </w:pPr>
      <w:r>
        <w:rPr>
          <w:rFonts w:hint="default" w:ascii="Arial" w:hAnsi="Arial" w:eastAsia="宋体" w:cs="Arial"/>
          <w:b/>
          <w:bCs/>
          <w:color w:val="2E75B5"/>
          <w:sz w:val="21"/>
          <w:szCs w:val="21"/>
        </w:rPr>
        <w:t>【</w:t>
      </w:r>
      <w:r>
        <w:rPr>
          <w:rFonts w:hint="eastAsia" w:ascii="Arial" w:hAnsi="Arial" w:cs="Arial"/>
          <w:b/>
          <w:bCs/>
          <w:color w:val="2E75B5"/>
          <w:sz w:val="21"/>
          <w:szCs w:val="21"/>
          <w:lang w:val="en-US" w:eastAsia="zh-CN"/>
        </w:rPr>
        <w:t>基本信息</w:t>
      </w:r>
      <w:r>
        <w:rPr>
          <w:rFonts w:hint="default" w:ascii="Arial" w:hAnsi="Arial" w:eastAsia="宋体" w:cs="Arial"/>
          <w:b/>
          <w:bCs/>
          <w:color w:val="2E75B5"/>
          <w:sz w:val="21"/>
          <w:szCs w:val="21"/>
        </w:rPr>
        <w:t>】</w:t>
      </w:r>
    </w:p>
    <w:tbl>
      <w:tblPr>
        <w:tblStyle w:val="6"/>
        <w:tblpPr w:leftFromText="180" w:rightFromText="180" w:vertAnchor="text" w:horzAnchor="page" w:tblpX="1411" w:tblpY="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6"/>
        <w:gridCol w:w="6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0" w:type="dxa"/>
            <w:gridSpan w:val="2"/>
            <w:shd w:val="clear" w:color="auto" w:fill="2E75B5"/>
            <w:noWrap/>
          </w:tcPr>
          <w:p>
            <w:pPr>
              <w:spacing w:line="360" w:lineRule="auto"/>
              <w:rPr>
                <w:rFonts w:hint="default" w:ascii="Arial" w:hAnsi="Arial" w:cs="Arial"/>
                <w:sz w:val="21"/>
                <w:szCs w:val="21"/>
              </w:rPr>
            </w:pPr>
            <w:r>
              <w:rPr>
                <w:rFonts w:hint="default" w:ascii="Arial" w:hAnsi="Arial" w:cs="Arial"/>
                <w:b/>
                <w:bCs/>
                <w:sz w:val="21"/>
                <w:szCs w:val="21"/>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产品名称</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eastAsia="zh-CN"/>
              </w:rPr>
              <w:t>月桂基硫酸盐胰蛋白胨（</w:t>
            </w:r>
            <w:r>
              <w:rPr>
                <w:rFonts w:hint="eastAsia" w:ascii="Arial" w:hAnsi="Arial" w:cs="Arial"/>
                <w:sz w:val="21"/>
                <w:szCs w:val="21"/>
                <w:lang w:val="en-US" w:eastAsia="zh-CN"/>
              </w:rPr>
              <w:t>LST</w:t>
            </w:r>
            <w:r>
              <w:rPr>
                <w:rFonts w:hint="eastAsia" w:ascii="Arial" w:hAnsi="Arial" w:cs="Arial"/>
                <w:sz w:val="21"/>
                <w:szCs w:val="21"/>
                <w:lang w:eastAsia="zh-CN"/>
              </w:rPr>
              <w:t>）肉汤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产品货号</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K0184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产品规格</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250g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灭菌方式</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rPr>
              <w:t>湿热灭菌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产品用途</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用于大肠菌群，大肠杆菌的测定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储存条件</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产品有效期</w:t>
            </w:r>
          </w:p>
        </w:tc>
        <w:tc>
          <w:tcPr>
            <w:tcW w:w="6994" w:type="dxa"/>
            <w:noWrap/>
          </w:tcPr>
          <w:p>
            <w:pPr>
              <w:spacing w:line="360" w:lineRule="auto"/>
              <w:rPr>
                <w:rFonts w:hint="default" w:ascii="Arial" w:hAnsi="Arial" w:cs="Arial"/>
                <w:sz w:val="21"/>
                <w:szCs w:val="21"/>
              </w:rPr>
            </w:pPr>
            <w:r>
              <w:rPr>
                <w:rFonts w:hint="eastAsia" w:ascii="Arial" w:hAnsi="Arial" w:cs="Arial"/>
                <w:sz w:val="21"/>
                <w:szCs w:val="21"/>
                <w:lang w:val="en-US" w:eastAsia="zh-CN"/>
              </w:rPr>
              <w:t>3年</w:t>
            </w:r>
          </w:p>
        </w:tc>
      </w:tr>
    </w:tbl>
    <w:p>
      <w:pPr>
        <w:jc w:val="center"/>
        <w:rPr>
          <w:rFonts w:ascii="Arial" w:hAnsi="Arial" w:cs="Arial"/>
          <w:b/>
          <w:bCs/>
          <w:sz w:val="36"/>
          <w:szCs w:val="36"/>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【使用方法】</w:t>
      </w:r>
    </w:p>
    <w:p>
      <w:pPr>
        <w:spacing w:line="360" w:lineRule="auto"/>
        <w:rPr>
          <w:rFonts w:hint="eastAsia" w:ascii="Arial" w:hAnsi="Arial" w:cs="Arial"/>
          <w:sz w:val="21"/>
          <w:szCs w:val="21"/>
          <w:vertAlign w:val="baseline"/>
          <w:lang w:val="en-US" w:eastAsia="zh-CN"/>
        </w:rPr>
      </w:pPr>
      <w:r>
        <w:rPr>
          <w:rFonts w:hint="eastAsia" w:ascii="Arial" w:hAnsi="Arial" w:cs="Arial"/>
          <w:b/>
          <w:bCs/>
          <w:color w:val="2E75B5"/>
          <w:sz w:val="21"/>
          <w:szCs w:val="21"/>
          <w:lang w:val="en-US" w:eastAsia="zh-CN"/>
        </w:rPr>
        <w:t xml:space="preserve">      </w:t>
      </w:r>
      <w:r>
        <w:rPr>
          <w:rFonts w:hint="eastAsia" w:ascii="Arial" w:hAnsi="Arial" w:cs="Arial"/>
          <w:sz w:val="21"/>
          <w:szCs w:val="21"/>
          <w:vertAlign w:val="baseline"/>
          <w:lang w:val="en-US" w:eastAsia="zh-CN"/>
        </w:rPr>
        <w:t>称取本品35.6g，置于1L蒸馏水中。加热搅拌至完全溶解，分装于含倒置发酵管的试管中，121℃高压灭菌15min，放置冷却，备用。</w:t>
      </w: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【质量控制】</w:t>
      </w:r>
    </w:p>
    <w:tbl>
      <w:tblPr>
        <w:tblStyle w:val="5"/>
        <w:tblpPr w:leftFromText="180" w:rightFromText="180" w:vertAnchor="page" w:horzAnchor="page" w:tblpX="1056" w:tblpY="8108"/>
        <w:tblOverlap w:val="never"/>
        <w:tblW w:w="457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
        <w:gridCol w:w="3257"/>
        <w:gridCol w:w="1564"/>
        <w:gridCol w:w="1691"/>
        <w:gridCol w:w="21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6" w:hRule="exact"/>
        </w:trPr>
        <w:tc>
          <w:tcPr>
            <w:tcW w:w="447" w:type="pct"/>
            <w:vMerge w:val="restart"/>
            <w:noWrap w:val="0"/>
            <w:vAlign w:val="center"/>
          </w:tcPr>
          <w:p>
            <w:pPr>
              <w:jc w:val="center"/>
              <w:rPr>
                <w:rFonts w:hint="default" w:ascii="Arial" w:hAnsi="Arial" w:eastAsia="宋体" w:cs="Arial"/>
                <w:b/>
                <w:sz w:val="24"/>
                <w:szCs w:val="24"/>
              </w:rPr>
            </w:pPr>
            <w:r>
              <w:rPr>
                <w:rFonts w:hint="default" w:ascii="Arial" w:hAnsi="Arial" w:eastAsia="宋体" w:cs="Arial"/>
                <w:b/>
                <w:sz w:val="24"/>
                <w:szCs w:val="24"/>
              </w:rPr>
              <w:t>微生物灵敏度检测</w:t>
            </w:r>
          </w:p>
        </w:tc>
        <w:tc>
          <w:tcPr>
            <w:tcW w:w="3257" w:type="dxa"/>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质控菌株及编号</w:t>
            </w:r>
          </w:p>
        </w:tc>
        <w:tc>
          <w:tcPr>
            <w:tcW w:w="1564" w:type="dxa"/>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接菌量（</w:t>
            </w:r>
            <w:r>
              <w:rPr>
                <w:rFonts w:hint="default" w:ascii="Arial" w:hAnsi="Arial" w:eastAsia="宋体" w:cs="Arial"/>
                <w:sz w:val="21"/>
                <w:szCs w:val="21"/>
                <w:lang w:val="en-US" w:eastAsia="zh-CN"/>
              </w:rPr>
              <w:t>cfu</w:t>
            </w:r>
            <w:r>
              <w:rPr>
                <w:rFonts w:hint="default" w:ascii="Arial" w:hAnsi="Arial" w:eastAsia="宋体" w:cs="Arial"/>
                <w:sz w:val="21"/>
                <w:szCs w:val="21"/>
                <w:lang w:eastAsia="zh-CN"/>
              </w:rPr>
              <w:t>）</w:t>
            </w:r>
          </w:p>
        </w:tc>
        <w:tc>
          <w:tcPr>
            <w:tcW w:w="1691" w:type="dxa"/>
            <w:noWrap w:val="0"/>
            <w:vAlign w:val="center"/>
          </w:tcPr>
          <w:p>
            <w:pPr>
              <w:jc w:val="center"/>
              <w:rPr>
                <w:rFonts w:hint="default" w:ascii="Arial" w:hAnsi="Arial" w:eastAsia="宋体" w:cs="Arial"/>
                <w:sz w:val="21"/>
                <w:szCs w:val="21"/>
                <w:lang w:val="en-US" w:eastAsia="zh-CN"/>
              </w:rPr>
            </w:pPr>
            <w:r>
              <w:rPr>
                <w:rFonts w:hint="default" w:ascii="Arial" w:hAnsi="Arial" w:eastAsia="宋体" w:cs="Arial"/>
                <w:sz w:val="21"/>
                <w:szCs w:val="21"/>
                <w:lang w:val="en-US" w:eastAsia="zh-CN"/>
              </w:rPr>
              <w:t>生长状况</w:t>
            </w:r>
          </w:p>
        </w:tc>
        <w:tc>
          <w:tcPr>
            <w:tcW w:w="2168" w:type="dxa"/>
            <w:noWrap w:val="0"/>
            <w:vAlign w:val="center"/>
          </w:tcPr>
          <w:p>
            <w:pPr>
              <w:jc w:val="center"/>
              <w:rPr>
                <w:rFonts w:hint="default" w:ascii="Arial" w:hAnsi="Arial" w:eastAsia="宋体" w:cs="Arial"/>
                <w:sz w:val="21"/>
                <w:szCs w:val="21"/>
              </w:rPr>
            </w:pPr>
            <w:r>
              <w:rPr>
                <w:rFonts w:hint="default" w:ascii="Arial" w:hAnsi="Arial" w:eastAsia="宋体" w:cs="Arial"/>
                <w:b w:val="0"/>
                <w:bCs/>
                <w:sz w:val="21"/>
                <w:szCs w:val="21"/>
                <w:lang w:eastAsia="zh-CN"/>
              </w:rPr>
              <w:t>质控结果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447" w:type="pct"/>
            <w:vMerge w:val="continue"/>
            <w:noWrap w:val="0"/>
            <w:vAlign w:val="center"/>
          </w:tcPr>
          <w:p>
            <w:pPr>
              <w:jc w:val="center"/>
              <w:rPr>
                <w:rFonts w:hint="default" w:ascii="Arial" w:hAnsi="Arial" w:eastAsia="宋体" w:cs="Arial"/>
                <w:b/>
                <w:sz w:val="24"/>
                <w:szCs w:val="24"/>
              </w:rPr>
            </w:pPr>
          </w:p>
        </w:tc>
        <w:tc>
          <w:tcPr>
            <w:tcW w:w="3257"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rPr>
              <w:t>大肠埃希氏菌</w:t>
            </w:r>
            <w:r>
              <w:rPr>
                <w:rFonts w:hint="default" w:ascii="Arial" w:hAnsi="Arial" w:eastAsia="宋体" w:cs="Arial"/>
                <w:sz w:val="21"/>
                <w:szCs w:val="21"/>
                <w:lang w:val="en-US" w:eastAsia="zh-CN"/>
              </w:rPr>
              <w:t>ATCC 25922</w:t>
            </w:r>
          </w:p>
        </w:tc>
        <w:tc>
          <w:tcPr>
            <w:tcW w:w="1564"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1691"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良好</w:t>
            </w:r>
          </w:p>
        </w:tc>
        <w:tc>
          <w:tcPr>
            <w:tcW w:w="2168"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产气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447" w:type="pct"/>
            <w:vMerge w:val="continue"/>
            <w:noWrap w:val="0"/>
            <w:vAlign w:val="center"/>
          </w:tcPr>
          <w:p>
            <w:pPr>
              <w:jc w:val="center"/>
              <w:rPr>
                <w:rFonts w:hint="default" w:ascii="Arial" w:hAnsi="Arial" w:eastAsia="宋体" w:cs="Arial"/>
                <w:b/>
                <w:sz w:val="24"/>
                <w:szCs w:val="24"/>
              </w:rPr>
            </w:pPr>
          </w:p>
        </w:tc>
        <w:tc>
          <w:tcPr>
            <w:tcW w:w="3257"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eastAsia="zh-CN"/>
              </w:rPr>
              <w:t>弗氏柠檬酸杆菌</w:t>
            </w:r>
            <w:r>
              <w:rPr>
                <w:rFonts w:hint="default" w:ascii="Arial" w:hAnsi="Arial" w:eastAsia="宋体" w:cs="Arial"/>
                <w:sz w:val="21"/>
                <w:szCs w:val="21"/>
                <w:lang w:val="en-US" w:eastAsia="zh-CN"/>
              </w:rPr>
              <w:t>ATCC43864</w:t>
            </w:r>
          </w:p>
        </w:tc>
        <w:tc>
          <w:tcPr>
            <w:tcW w:w="1564"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1691"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良好</w:t>
            </w:r>
          </w:p>
        </w:tc>
        <w:tc>
          <w:tcPr>
            <w:tcW w:w="2168"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产气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447" w:type="pct"/>
            <w:vMerge w:val="continue"/>
            <w:noWrap w:val="0"/>
            <w:vAlign w:val="center"/>
          </w:tcPr>
          <w:p>
            <w:pPr>
              <w:jc w:val="center"/>
              <w:rPr>
                <w:rFonts w:hint="default" w:ascii="Arial" w:hAnsi="Arial" w:eastAsia="宋体" w:cs="Arial"/>
                <w:b/>
                <w:sz w:val="24"/>
                <w:szCs w:val="24"/>
              </w:rPr>
            </w:pPr>
          </w:p>
        </w:tc>
        <w:tc>
          <w:tcPr>
            <w:tcW w:w="3257" w:type="dxa"/>
            <w:noWrap w:val="0"/>
            <w:vAlign w:val="center"/>
          </w:tcPr>
          <w:p>
            <w:pPr>
              <w:jc w:val="center"/>
              <w:rPr>
                <w:rFonts w:hint="eastAsia" w:ascii="Arial" w:hAnsi="Arial" w:cs="Arial"/>
                <w:szCs w:val="21"/>
                <w:lang w:val="en-US" w:eastAsia="zh-CN"/>
              </w:rPr>
            </w:pPr>
            <w:r>
              <w:rPr>
                <w:rFonts w:hint="default" w:ascii="Arial" w:hAnsi="Arial" w:eastAsia="宋体" w:cs="Arial"/>
                <w:sz w:val="21"/>
                <w:szCs w:val="21"/>
                <w:lang w:eastAsia="zh-CN"/>
              </w:rPr>
              <w:t>粪肠球菌</w:t>
            </w:r>
            <w:r>
              <w:rPr>
                <w:rFonts w:hint="default" w:ascii="Arial" w:hAnsi="Arial" w:eastAsia="宋体" w:cs="Arial"/>
                <w:sz w:val="21"/>
                <w:szCs w:val="21"/>
                <w:lang w:val="en-US" w:eastAsia="zh-CN"/>
              </w:rPr>
              <w:t>ATCC29212</w:t>
            </w:r>
          </w:p>
        </w:tc>
        <w:tc>
          <w:tcPr>
            <w:tcW w:w="1564" w:type="dxa"/>
            <w:noWrap w:val="0"/>
            <w:vAlign w:val="center"/>
          </w:tcPr>
          <w:p>
            <w:pPr>
              <w:jc w:val="center"/>
              <w:rPr>
                <w:rFonts w:hint="eastAsia" w:ascii="Arial" w:hAnsi="Arial" w:cs="Arial"/>
                <w:szCs w:val="21"/>
              </w:rPr>
            </w:pPr>
            <w:r>
              <w:rPr>
                <w:rFonts w:hint="default" w:ascii="Arial" w:hAnsi="Arial" w:eastAsia="宋体" w:cs="Arial"/>
                <w:sz w:val="21"/>
                <w:szCs w:val="21"/>
                <w:lang w:val="en-US" w:eastAsia="zh-CN"/>
              </w:rPr>
              <w:t>100-1000</w:t>
            </w:r>
          </w:p>
        </w:tc>
        <w:tc>
          <w:tcPr>
            <w:tcW w:w="1691" w:type="dxa"/>
            <w:noWrap w:val="0"/>
            <w:vAlign w:val="center"/>
          </w:tcPr>
          <w:p>
            <w:pPr>
              <w:jc w:val="center"/>
              <w:rPr>
                <w:rFonts w:hint="eastAsia" w:ascii="Arial" w:hAnsi="Arial" w:cs="Arial"/>
                <w:szCs w:val="21"/>
                <w:lang w:val="en-US" w:eastAsia="zh-CN"/>
              </w:rPr>
            </w:pPr>
            <w:r>
              <w:rPr>
                <w:rFonts w:hint="default" w:ascii="Arial" w:hAnsi="Arial" w:eastAsia="宋体" w:cs="Arial"/>
                <w:sz w:val="21"/>
                <w:szCs w:val="21"/>
                <w:lang w:val="en-US" w:eastAsia="zh-CN"/>
              </w:rPr>
              <w:t>-</w:t>
            </w:r>
          </w:p>
        </w:tc>
        <w:tc>
          <w:tcPr>
            <w:tcW w:w="2168" w:type="dxa"/>
            <w:noWrap w:val="0"/>
            <w:vAlign w:val="center"/>
          </w:tcPr>
          <w:p>
            <w:pPr>
              <w:jc w:val="center"/>
              <w:rPr>
                <w:rFonts w:hint="eastAsia"/>
                <w:lang w:val="en-US" w:eastAsia="zh-CN"/>
              </w:rPr>
            </w:pPr>
            <w:r>
              <w:rPr>
                <w:rFonts w:hint="default" w:ascii="Arial" w:hAnsi="Arial" w:eastAsia="宋体" w:cs="Arial"/>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24" w:hRule="exact"/>
        </w:trPr>
        <w:tc>
          <w:tcPr>
            <w:tcW w:w="447" w:type="pct"/>
            <w:vMerge w:val="continue"/>
            <w:noWrap w:val="0"/>
            <w:vAlign w:val="center"/>
          </w:tcPr>
          <w:p>
            <w:pPr>
              <w:jc w:val="center"/>
              <w:rPr>
                <w:rFonts w:hint="default" w:ascii="Arial" w:hAnsi="Arial" w:eastAsia="宋体" w:cs="Arial"/>
                <w:b/>
                <w:sz w:val="24"/>
                <w:szCs w:val="24"/>
              </w:rPr>
            </w:pPr>
          </w:p>
        </w:tc>
        <w:tc>
          <w:tcPr>
            <w:tcW w:w="4552" w:type="pct"/>
            <w:gridSpan w:val="4"/>
            <w:noWrap w:val="0"/>
            <w:vAlign w:val="center"/>
          </w:tcPr>
          <w:p>
            <w:pPr>
              <w:jc w:val="left"/>
              <w:rPr>
                <w:rFonts w:hint="default" w:ascii="Arial" w:hAnsi="Arial" w:eastAsia="宋体" w:cs="Arial"/>
                <w:sz w:val="21"/>
                <w:szCs w:val="21"/>
                <w:lang w:val="en-US" w:eastAsia="zh-CN"/>
              </w:rPr>
            </w:pPr>
            <w:r>
              <w:rPr>
                <w:rFonts w:hint="default" w:ascii="Arial" w:hAnsi="Arial" w:eastAsia="宋体" w:cs="Arial"/>
                <w:sz w:val="21"/>
                <w:szCs w:val="21"/>
                <w:lang w:eastAsia="zh-CN"/>
              </w:rPr>
              <w:t>备注：</w:t>
            </w:r>
            <w:r>
              <w:rPr>
                <w:rFonts w:hint="default" w:ascii="Arial" w:hAnsi="Arial" w:eastAsia="宋体" w:cs="Arial"/>
                <w:sz w:val="21"/>
                <w:szCs w:val="21"/>
                <w:lang w:val="en-US" w:eastAsia="zh-CN"/>
              </w:rPr>
              <w:t>1、36±1℃需氧</w:t>
            </w:r>
            <w:r>
              <w:rPr>
                <w:rFonts w:hint="default" w:ascii="Arial" w:hAnsi="Arial" w:eastAsia="宋体" w:cs="Arial"/>
                <w:sz w:val="21"/>
                <w:szCs w:val="21"/>
              </w:rPr>
              <w:t>培养</w:t>
            </w:r>
            <w:r>
              <w:rPr>
                <w:rFonts w:hint="default" w:ascii="Arial" w:hAnsi="Arial" w:eastAsia="宋体" w:cs="Arial"/>
                <w:sz w:val="21"/>
                <w:szCs w:val="21"/>
                <w:lang w:val="en-US" w:eastAsia="zh-CN"/>
              </w:rPr>
              <w:t>24-48</w:t>
            </w:r>
            <w:r>
              <w:rPr>
                <w:rFonts w:hint="default" w:ascii="Arial" w:hAnsi="Arial" w:eastAsia="宋体" w:cs="Arial"/>
                <w:sz w:val="21"/>
                <w:szCs w:val="21"/>
              </w:rPr>
              <w:t xml:space="preserve"> h</w:t>
            </w:r>
            <w:r>
              <w:rPr>
                <w:rFonts w:hint="default" w:ascii="Arial" w:hAnsi="Arial" w:eastAsia="宋体" w:cs="Arial"/>
                <w:sz w:val="21"/>
                <w:szCs w:val="21"/>
                <w:lang w:val="en-US" w:eastAsia="zh-CN"/>
              </w:rPr>
              <w:t>；</w:t>
            </w:r>
          </w:p>
          <w:p>
            <w:pPr>
              <w:ind w:firstLine="630" w:firstLineChars="300"/>
              <w:rPr>
                <w:rFonts w:hint="eastAsia" w:ascii="Arial" w:hAnsi="Arial" w:eastAsia="宋体" w:cs="Arial"/>
                <w:kern w:val="2"/>
                <w:sz w:val="21"/>
                <w:szCs w:val="21"/>
                <w:lang w:val="en-US" w:eastAsia="zh-CN" w:bidi="ar-SA"/>
              </w:rPr>
            </w:pPr>
            <w:r>
              <w:rPr>
                <w:rFonts w:hint="default" w:ascii="Arial" w:hAnsi="Arial" w:eastAsia="宋体" w:cs="Arial"/>
                <w:sz w:val="21"/>
                <w:szCs w:val="21"/>
                <w:lang w:val="en-US" w:eastAsia="zh-CN"/>
              </w:rPr>
              <w:t>2、TSA为计数培养基；</w:t>
            </w:r>
            <w:bookmarkStart w:id="0" w:name="_GoBack"/>
            <w:bookmarkEnd w:id="0"/>
          </w:p>
        </w:tc>
      </w:tr>
    </w:tbl>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【注意事项】</w:t>
      </w:r>
    </w:p>
    <w:p>
      <w:pPr>
        <w:spacing w:line="360" w:lineRule="auto"/>
        <w:jc w:val="left"/>
        <w:rPr>
          <w:rFonts w:hint="default" w:ascii="Arial" w:hAnsi="Arial" w:eastAsia="宋体" w:cs="Arial"/>
          <w:sz w:val="21"/>
          <w:szCs w:val="21"/>
        </w:rPr>
      </w:pPr>
      <w:r>
        <w:rPr>
          <w:rFonts w:hint="default" w:ascii="Arial" w:hAnsi="Arial" w:eastAsia="宋体" w:cs="Arial"/>
          <w:sz w:val="21"/>
          <w:szCs w:val="21"/>
        </w:rPr>
        <w:t>1、产品贮存于</w:t>
      </w: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r>
        <w:rPr>
          <w:rFonts w:hint="default" w:ascii="Arial" w:hAnsi="Arial" w:eastAsia="宋体" w:cs="Arial"/>
          <w:sz w:val="21"/>
          <w:szCs w:val="21"/>
          <w:lang w:eastAsia="zh-CN"/>
        </w:rPr>
        <w:t>，</w:t>
      </w:r>
      <w:r>
        <w:rPr>
          <w:rFonts w:hint="default" w:ascii="Arial" w:hAnsi="Arial" w:eastAsia="宋体" w:cs="Arial"/>
          <w:sz w:val="21"/>
          <w:szCs w:val="21"/>
        </w:rPr>
        <w:t>未开封产品保质期</w:t>
      </w:r>
      <w:r>
        <w:rPr>
          <w:rFonts w:hint="eastAsia" w:ascii="Arial" w:hAnsi="Arial" w:cs="Arial"/>
          <w:sz w:val="21"/>
          <w:szCs w:val="21"/>
          <w:lang w:val="en-US" w:eastAsia="zh-CN"/>
        </w:rPr>
        <w:t>36</w:t>
      </w:r>
      <w:r>
        <w:rPr>
          <w:rFonts w:hint="default" w:ascii="Arial" w:hAnsi="Arial" w:eastAsia="宋体" w:cs="Arial"/>
          <w:sz w:val="21"/>
          <w:szCs w:val="21"/>
        </w:rPr>
        <w:t>个月。开封后未使用完的平皿根据存放条件的不同保质时间存在一定的差异。</w:t>
      </w:r>
    </w:p>
    <w:p>
      <w:pPr>
        <w:spacing w:line="360" w:lineRule="auto"/>
        <w:rPr>
          <w:rFonts w:hint="default" w:ascii="Arial" w:hAnsi="Arial" w:eastAsia="宋体" w:cs="Arial"/>
          <w:sz w:val="21"/>
          <w:szCs w:val="21"/>
        </w:rPr>
      </w:pPr>
      <w:r>
        <w:rPr>
          <w:rFonts w:hint="default" w:ascii="Arial" w:hAnsi="Arial" w:eastAsia="宋体" w:cs="Arial"/>
          <w:sz w:val="21"/>
          <w:szCs w:val="21"/>
        </w:rPr>
        <w:t>2、使用前查看，产品包装是否完整。若出现漏气、污染，请勿传入洁净区内。</w:t>
      </w:r>
    </w:p>
    <w:p>
      <w:pPr>
        <w:spacing w:line="360" w:lineRule="auto"/>
        <w:rPr>
          <w:rFonts w:hint="default" w:ascii="Arial" w:hAnsi="Arial" w:eastAsia="宋体" w:cs="Arial"/>
          <w:sz w:val="21"/>
          <w:szCs w:val="21"/>
        </w:rPr>
      </w:pPr>
      <w:r>
        <w:rPr>
          <w:rFonts w:hint="default" w:ascii="Arial" w:hAnsi="Arial" w:eastAsia="宋体" w:cs="Arial"/>
          <w:sz w:val="21"/>
          <w:szCs w:val="21"/>
        </w:rPr>
        <w:t>3、在超净工作台中打开包装后，发现平皿内培养基表面有冷凝水，将平皿打开，将冷凝水倒入洁净器皿中。</w:t>
      </w:r>
    </w:p>
    <w:p>
      <w:pPr>
        <w:spacing w:line="360" w:lineRule="auto"/>
        <w:rPr>
          <w:rFonts w:hint="default" w:ascii="Arial" w:hAnsi="Arial" w:eastAsia="宋体" w:cs="Arial"/>
          <w:sz w:val="21"/>
          <w:szCs w:val="21"/>
        </w:rPr>
      </w:pPr>
      <w:r>
        <w:rPr>
          <w:rFonts w:hint="default" w:ascii="Arial" w:hAnsi="Arial" w:eastAsia="宋体" w:cs="Arial"/>
          <w:sz w:val="21"/>
          <w:szCs w:val="21"/>
        </w:rPr>
        <w:t>4、使用后的培养基应在121℃下高压灭菌30分钟后处理。</w:t>
      </w:r>
    </w:p>
    <w:p>
      <w:pPr>
        <w:spacing w:line="360" w:lineRule="auto"/>
        <w:rPr>
          <w:rFonts w:hint="default" w:ascii="Arial" w:hAnsi="Arial" w:eastAsia="宋体" w:cs="Arial"/>
          <w:sz w:val="21"/>
          <w:szCs w:val="21"/>
        </w:rPr>
      </w:pPr>
      <w:r>
        <w:rPr>
          <w:rFonts w:hint="default" w:ascii="Arial" w:hAnsi="Arial" w:eastAsia="宋体" w:cs="Arial"/>
          <w:sz w:val="21"/>
          <w:szCs w:val="21"/>
        </w:rPr>
        <w:t>5、质检报告可以登录凯恒生物网站http://www.kinghunt.cn下载,或随货纸质复印件。</w:t>
      </w:r>
    </w:p>
    <w:p>
      <w:pPr>
        <w:spacing w:line="360" w:lineRule="auto"/>
        <w:rPr>
          <w:rFonts w:hint="default" w:ascii="Arial" w:hAnsi="Arial" w:eastAsia="宋体" w:cs="Arial"/>
          <w:sz w:val="21"/>
          <w:szCs w:val="21"/>
        </w:rPr>
      </w:pPr>
      <w:r>
        <w:rPr>
          <w:rFonts w:hint="default" w:ascii="Arial" w:hAnsi="Arial" w:eastAsia="宋体" w:cs="Arial"/>
          <w:sz w:val="21"/>
          <w:szCs w:val="21"/>
        </w:rPr>
        <w:t>6、本品不得用于临床检测。</w:t>
      </w:r>
    </w:p>
    <w:p>
      <w:pPr>
        <w:rPr>
          <w:rFonts w:ascii="Arial" w:hAnsi="Arial" w:cs="Arial"/>
          <w:b/>
          <w:bCs/>
          <w:color w:val="000000"/>
          <w:sz w:val="36"/>
          <w:szCs w:val="36"/>
        </w:rPr>
      </w:pPr>
    </w:p>
    <w:p>
      <w:pPr>
        <w:ind w:firstLine="2168" w:firstLineChars="600"/>
        <w:rPr>
          <w:rFonts w:ascii="Arial" w:hAnsi="Arial" w:cs="Arial"/>
          <w:b/>
          <w:bCs/>
          <w:color w:val="000000"/>
          <w:sz w:val="36"/>
          <w:szCs w:val="36"/>
        </w:rPr>
      </w:pPr>
    </w:p>
    <w:p>
      <w:pPr>
        <w:ind w:firstLine="2168" w:firstLineChars="600"/>
        <w:rPr>
          <w:rFonts w:ascii="Arial" w:hAnsi="Arial" w:cs="Arial"/>
          <w:b/>
          <w:bCs/>
          <w:color w:val="000000"/>
          <w:sz w:val="36"/>
          <w:szCs w:val="36"/>
        </w:rPr>
      </w:pPr>
    </w:p>
    <w:p>
      <w:pPr>
        <w:ind w:firstLine="2168" w:firstLineChars="600"/>
        <w:rPr>
          <w:rFonts w:ascii="Arial" w:hAnsi="Arial" w:cs="Arial"/>
          <w:b/>
          <w:bCs/>
          <w:color w:val="000000"/>
          <w:sz w:val="36"/>
          <w:szCs w:val="36"/>
        </w:rPr>
      </w:pPr>
      <w:r>
        <w:rPr>
          <w:rFonts w:ascii="Arial" w:hAnsi="Arial" w:cs="Arial"/>
          <w:b/>
          <w:bCs/>
          <w:color w:val="000000"/>
          <w:sz w:val="36"/>
          <w:szCs w:val="36"/>
        </w:rPr>
        <w:t>更多产品信息与订购请联系我们！</w:t>
      </w:r>
    </w:p>
    <w:p>
      <w:pPr>
        <w:rPr>
          <w:rFonts w:ascii="Arial" w:hAnsi="Arial" w:cs="Arial"/>
          <w:b/>
          <w:bCs/>
          <w:color w:val="000000"/>
          <w:sz w:val="28"/>
          <w:szCs w:val="28"/>
        </w:rPr>
      </w:pPr>
      <w:r>
        <w:rPr>
          <w:rFonts w:ascii="Arial" w:hAnsi="Arial" w:cs="Arial"/>
          <w:sz w:val="36"/>
          <w:szCs w:val="36"/>
        </w:rPr>
        <w:drawing>
          <wp:anchor distT="0" distB="0" distL="114300" distR="114300" simplePos="0" relativeHeight="251662336" behindDoc="0" locked="0" layoutInCell="1" allowOverlap="1">
            <wp:simplePos x="0" y="0"/>
            <wp:positionH relativeFrom="column">
              <wp:posOffset>4385945</wp:posOffset>
            </wp:positionH>
            <wp:positionV relativeFrom="paragraph">
              <wp:posOffset>160655</wp:posOffset>
            </wp:positionV>
            <wp:extent cx="1391920" cy="1391920"/>
            <wp:effectExtent l="0" t="0" r="10160" b="10160"/>
            <wp:wrapSquare wrapText="bothSides"/>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6"/>
                    <a:stretch>
                      <a:fillRect/>
                    </a:stretch>
                  </pic:blipFill>
                  <pic:spPr>
                    <a:xfrm>
                      <a:off x="0" y="0"/>
                      <a:ext cx="1391920" cy="1391920"/>
                    </a:xfrm>
                    <a:prstGeom prst="rect">
                      <a:avLst/>
                    </a:prstGeom>
                    <a:noFill/>
                    <a:ln w="9525">
                      <a:noFill/>
                    </a:ln>
                  </pic:spPr>
                </pic:pic>
              </a:graphicData>
            </a:graphic>
          </wp:anchor>
        </w:drawing>
      </w:r>
      <w:r>
        <w:rPr>
          <w:rFonts w:ascii="Arial" w:hAnsi="Arial" w:cs="Arial"/>
          <w:b/>
          <w:bCs/>
          <w:color w:val="000000"/>
          <w:sz w:val="28"/>
          <w:szCs w:val="28"/>
        </w:rPr>
        <w:t>地址：江苏省南通市兴福路29号</w:t>
      </w:r>
    </w:p>
    <w:p>
      <w:pPr>
        <w:rPr>
          <w:rFonts w:ascii="Arial" w:hAnsi="Arial" w:cs="Arial"/>
          <w:b/>
          <w:bCs/>
          <w:color w:val="000000"/>
          <w:sz w:val="28"/>
          <w:szCs w:val="28"/>
        </w:rPr>
      </w:pPr>
      <w:r>
        <w:rPr>
          <w:rFonts w:ascii="Arial" w:hAnsi="Arial" w:cs="Arial"/>
          <w:b/>
          <w:bCs/>
          <w:color w:val="000000"/>
          <w:sz w:val="28"/>
          <w:szCs w:val="28"/>
        </w:rPr>
        <w:t>电话：</w:t>
      </w:r>
      <w:r>
        <w:rPr>
          <w:rFonts w:hint="eastAsia" w:ascii="Arial" w:hAnsi="Arial" w:cs="Arial"/>
          <w:b/>
          <w:bCs/>
          <w:color w:val="000000"/>
          <w:sz w:val="28"/>
          <w:szCs w:val="28"/>
        </w:rPr>
        <w:t>0513-85596088</w:t>
      </w:r>
    </w:p>
    <w:p>
      <w:pPr>
        <w:rPr>
          <w:rFonts w:ascii="Arial" w:hAnsi="Arial" w:cs="Arial"/>
          <w:b/>
          <w:bCs/>
          <w:color w:val="000000"/>
          <w:sz w:val="28"/>
          <w:szCs w:val="28"/>
        </w:rPr>
      </w:pPr>
      <w:r>
        <w:rPr>
          <w:rFonts w:ascii="Arial" w:hAnsi="Arial" w:cs="Arial"/>
          <w:b/>
          <w:bCs/>
          <w:color w:val="000000"/>
          <w:sz w:val="28"/>
          <w:szCs w:val="28"/>
        </w:rPr>
        <w:t>邮箱：</w:t>
      </w:r>
      <w:r>
        <w:fldChar w:fldCharType="begin"/>
      </w:r>
      <w:r>
        <w:instrText xml:space="preserve"> HYPERLINK "mailto:info@kinghunt.cn" </w:instrText>
      </w:r>
      <w:r>
        <w:fldChar w:fldCharType="separate"/>
      </w:r>
      <w:r>
        <w:rPr>
          <w:rStyle w:val="8"/>
          <w:rFonts w:ascii="Arial" w:hAnsi="Arial" w:cs="Arial"/>
          <w:b/>
          <w:bCs/>
          <w:color w:val="000000"/>
          <w:sz w:val="28"/>
          <w:szCs w:val="28"/>
        </w:rPr>
        <w:t>info@kinghunt.cn</w:t>
      </w:r>
      <w:r>
        <w:rPr>
          <w:rStyle w:val="8"/>
          <w:rFonts w:ascii="Arial" w:hAnsi="Arial" w:cs="Arial"/>
          <w:b/>
          <w:bCs/>
          <w:color w:val="000000"/>
          <w:sz w:val="28"/>
          <w:szCs w:val="28"/>
        </w:rPr>
        <w:fldChar w:fldCharType="end"/>
      </w:r>
    </w:p>
    <w:p>
      <w:pPr>
        <w:rPr>
          <w:rFonts w:ascii="Arial" w:hAnsi="Arial" w:cs="Arial"/>
        </w:rPr>
      </w:pPr>
      <w:r>
        <w:rPr>
          <w:rFonts w:ascii="Arial" w:hAnsi="Arial" w:cs="Arial"/>
          <w:sz w:val="28"/>
        </w:rPr>
        <mc:AlternateContent>
          <mc:Choice Requires="wps">
            <w:drawing>
              <wp:anchor distT="0" distB="0" distL="114300" distR="114300" simplePos="0" relativeHeight="251661312" behindDoc="0" locked="0" layoutInCell="1" allowOverlap="1">
                <wp:simplePos x="0" y="0"/>
                <wp:positionH relativeFrom="column">
                  <wp:posOffset>4327525</wp:posOffset>
                </wp:positionH>
                <wp:positionV relativeFrom="paragraph">
                  <wp:posOffset>279400</wp:posOffset>
                </wp:positionV>
                <wp:extent cx="1703705" cy="332740"/>
                <wp:effectExtent l="0" t="0" r="10795" b="10160"/>
                <wp:wrapNone/>
                <wp:docPr id="11" name="文本框 11"/>
                <wp:cNvGraphicFramePr/>
                <a:graphic xmlns:a="http://schemas.openxmlformats.org/drawingml/2006/main">
                  <a:graphicData uri="http://schemas.microsoft.com/office/word/2010/wordprocessingShape">
                    <wps:wsp>
                      <wps:cNvSpPr txBox="1"/>
                      <wps:spPr>
                        <a:xfrm>
                          <a:off x="5237480" y="3098800"/>
                          <a:ext cx="1703705" cy="332740"/>
                        </a:xfrm>
                        <a:prstGeom prst="rect">
                          <a:avLst/>
                        </a:prstGeom>
                        <a:solidFill>
                          <a:srgbClr val="FFFFFF"/>
                        </a:solidFill>
                        <a:ln w="6350">
                          <a:noFill/>
                        </a:ln>
                        <a:effectLst/>
                      </wps:spPr>
                      <wps:txbx>
                        <w:txbxContent>
                          <w:p>
                            <w:pPr>
                              <w:rPr>
                                <w:szCs w:val="21"/>
                              </w:rPr>
                            </w:pPr>
                            <w:r>
                              <w:rPr>
                                <w:rFonts w:hint="eastAsia"/>
                                <w:szCs w:val="21"/>
                              </w:rPr>
                              <w:t>南通凯恒生物微信公众号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75pt;margin-top:22pt;height:26.2pt;width:134.15pt;z-index:251661312;mso-width-relative:page;mso-height-relative:page;" fillcolor="#FFFFFF" filled="t" stroked="f" coordsize="21600,21600" o:gfxdata="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A/Wyn1QAAAAkBAAAPAAAAAAAAAAEAIAAAACIAAABkcnMvZG93bnJldi54bWxQSwECFAAUAAAA&#10;CACHTuJAJYNj1WMCAACrBAAADgAAAAAAAAABACAAAAAkAQAAZHJzL2Uyb0RvYy54bWxQSwUGAAAA&#10;AAYABgBZAQAA+QUAAAAA&#10;">
                <v:fill on="t" focussize="0,0"/>
                <v:stroke on="f" weight="0.5pt"/>
                <v:imagedata o:title=""/>
                <o:lock v:ext="edit" aspectratio="f"/>
                <v:textbox>
                  <w:txbxContent>
                    <w:p>
                      <w:pPr>
                        <w:rPr>
                          <w:szCs w:val="21"/>
                        </w:rPr>
                      </w:pPr>
                      <w:r>
                        <w:rPr>
                          <w:rFonts w:hint="eastAsia"/>
                          <w:szCs w:val="21"/>
                        </w:rPr>
                        <w:t>南通凯恒生物微信公众号</w:t>
                      </w:r>
                    </w:p>
                  </w:txbxContent>
                </v:textbox>
              </v:shape>
            </w:pict>
          </mc:Fallback>
        </mc:AlternateContent>
      </w:r>
      <w:r>
        <w:rPr>
          <w:rFonts w:ascii="Arial" w:hAnsi="Arial" w:cs="Arial"/>
          <w:b/>
          <w:bCs/>
          <w:color w:val="000000"/>
          <w:sz w:val="28"/>
          <w:szCs w:val="28"/>
        </w:rPr>
        <w:t>官网：www.kinghunt.cn</w:t>
      </w:r>
    </w:p>
    <w:p>
      <w:pPr>
        <w:rPr>
          <w:rFonts w:ascii="Arial" w:hAnsi="Arial" w:cs="Arial"/>
        </w:rPr>
      </w:pPr>
    </w:p>
    <w:sectPr>
      <w:headerReference r:id="rId3" w:type="default"/>
      <w:footerReference r:id="rId4" w:type="default"/>
      <w:pgSz w:w="11906" w:h="16838"/>
      <w:pgMar w:top="170" w:right="850" w:bottom="170" w:left="850" w:header="567"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jc w:val="center"/>
    </w:pPr>
    <w:r>
      <mc:AlternateContent>
        <mc:Choice Requires="wps">
          <w:drawing>
            <wp:anchor distT="0" distB="0" distL="114300" distR="114300" simplePos="0" relativeHeight="251659264" behindDoc="0" locked="0" layoutInCell="1" allowOverlap="1">
              <wp:simplePos x="0" y="0"/>
              <wp:positionH relativeFrom="margin">
                <wp:posOffset>3227070</wp:posOffset>
              </wp:positionH>
              <wp:positionV relativeFrom="paragraph">
                <wp:posOffset>228600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54.1pt;margin-top:18pt;height:144pt;width:144pt;mso-position-horizontal-relative:margin;mso-wrap-style:none;z-index:251659264;mso-width-relative:page;mso-height-relative:page;" filled="f" stroked="f" coordsize="21600,21600" o:gfxdata="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S6/8K1gAAAAoBAAAPAAAAAAAAAAEAIAAAACIAAABkcnMvZG93bnJl&#10;di54bWxQSwECFAAUAAAACACHTuJAXhqPXzgCAABvBAAADgAAAAAAAAABACAAAAAlAQAAZHJzL2Uy&#10;b0RvYy54bWxQSwUGAAAAAAYABgBZAQAAz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ADD：南通市港闸区兴福路29号         TEL：0513-85596088         FAX：0513-89072155</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ascii="楷体" w:hAnsi="楷体" w:eastAsia="楷体"/>
        <w:b/>
        <w:color w:val="4F81BD"/>
        <w:sz w:val="52"/>
        <w:szCs w:val="52"/>
      </w:rPr>
      <w:drawing>
        <wp:anchor distT="0" distB="0" distL="114300" distR="114300" simplePos="0" relativeHeight="251660288" behindDoc="0" locked="0" layoutInCell="1" allowOverlap="1">
          <wp:simplePos x="0" y="0"/>
          <wp:positionH relativeFrom="column">
            <wp:posOffset>-273685</wp:posOffset>
          </wp:positionH>
          <wp:positionV relativeFrom="paragraph">
            <wp:posOffset>-139700</wp:posOffset>
          </wp:positionV>
          <wp:extent cx="859790" cy="335280"/>
          <wp:effectExtent l="0" t="0" r="3810" b="7620"/>
          <wp:wrapNone/>
          <wp:docPr id="5" name="图片 5" descr="4187b32cf786b793c8d72d111502c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187b32cf786b793c8d72d111502c97"/>
                  <pic:cNvPicPr>
                    <a:picLocks noChangeAspect="1"/>
                  </pic:cNvPicPr>
                </pic:nvPicPr>
                <pic:blipFill>
                  <a:blip r:embed="rId1"/>
                  <a:stretch>
                    <a:fillRect/>
                  </a:stretch>
                </pic:blipFill>
                <pic:spPr>
                  <a:xfrm>
                    <a:off x="0" y="0"/>
                    <a:ext cx="859790" cy="335280"/>
                  </a:xfrm>
                  <a:prstGeom prst="rect">
                    <a:avLst/>
                  </a:prstGeom>
                </pic:spPr>
              </pic:pic>
            </a:graphicData>
          </a:graphic>
        </wp:anchor>
      </w:drawing>
    </w:r>
    <w:r>
      <w:rPr>
        <w:rFonts w:hint="eastAsia" w:ascii="楷体" w:hAnsi="楷体" w:eastAsia="楷体"/>
        <w:b/>
        <w:color w:val="4F81BD"/>
        <w:sz w:val="30"/>
        <w:szCs w:val="30"/>
      </w:rPr>
      <w:t>南通凯恒生物科技发展有限公司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MjgwYjliM2RiNDg5ZjAwNmE0ODFhMzIyMGY5YTgifQ=="/>
  </w:docVars>
  <w:rsids>
    <w:rsidRoot w:val="4A3B687A"/>
    <w:rsid w:val="000861FF"/>
    <w:rsid w:val="00C423F5"/>
    <w:rsid w:val="00FB0263"/>
    <w:rsid w:val="014B2C80"/>
    <w:rsid w:val="019D55FE"/>
    <w:rsid w:val="01F10AB4"/>
    <w:rsid w:val="03496171"/>
    <w:rsid w:val="035039C5"/>
    <w:rsid w:val="046B096F"/>
    <w:rsid w:val="04DB68A2"/>
    <w:rsid w:val="050C10FB"/>
    <w:rsid w:val="05A727FA"/>
    <w:rsid w:val="05AA0371"/>
    <w:rsid w:val="05B64B1A"/>
    <w:rsid w:val="064429E4"/>
    <w:rsid w:val="070E163A"/>
    <w:rsid w:val="07D77B4A"/>
    <w:rsid w:val="084A7B62"/>
    <w:rsid w:val="09105B2B"/>
    <w:rsid w:val="0AF361BB"/>
    <w:rsid w:val="0B7E27A1"/>
    <w:rsid w:val="0E01655B"/>
    <w:rsid w:val="0E792F4F"/>
    <w:rsid w:val="0EA72703"/>
    <w:rsid w:val="0EC678BA"/>
    <w:rsid w:val="0F3C218F"/>
    <w:rsid w:val="0FC275DE"/>
    <w:rsid w:val="104E5D90"/>
    <w:rsid w:val="1060388C"/>
    <w:rsid w:val="1185697E"/>
    <w:rsid w:val="11D23302"/>
    <w:rsid w:val="12CC7C08"/>
    <w:rsid w:val="12EF2F7B"/>
    <w:rsid w:val="13B92F33"/>
    <w:rsid w:val="13CA1B57"/>
    <w:rsid w:val="13F174FB"/>
    <w:rsid w:val="144B5E39"/>
    <w:rsid w:val="14902E44"/>
    <w:rsid w:val="14BC3B96"/>
    <w:rsid w:val="14EB18A5"/>
    <w:rsid w:val="150A2B53"/>
    <w:rsid w:val="152C0583"/>
    <w:rsid w:val="1591092F"/>
    <w:rsid w:val="166A7BC3"/>
    <w:rsid w:val="166F3988"/>
    <w:rsid w:val="17461B10"/>
    <w:rsid w:val="17781C54"/>
    <w:rsid w:val="17F50167"/>
    <w:rsid w:val="196D66B3"/>
    <w:rsid w:val="1A5C30F1"/>
    <w:rsid w:val="1AAF2078"/>
    <w:rsid w:val="1C4E46FC"/>
    <w:rsid w:val="1E44310F"/>
    <w:rsid w:val="1EFE526D"/>
    <w:rsid w:val="1F7913FF"/>
    <w:rsid w:val="1F8D6B3C"/>
    <w:rsid w:val="215872CC"/>
    <w:rsid w:val="21E56C90"/>
    <w:rsid w:val="226B16EE"/>
    <w:rsid w:val="22C50060"/>
    <w:rsid w:val="2320397B"/>
    <w:rsid w:val="23621DAC"/>
    <w:rsid w:val="237C0881"/>
    <w:rsid w:val="240D3424"/>
    <w:rsid w:val="24802C1F"/>
    <w:rsid w:val="249771E3"/>
    <w:rsid w:val="25742F35"/>
    <w:rsid w:val="26001FEC"/>
    <w:rsid w:val="269446AD"/>
    <w:rsid w:val="26C203BF"/>
    <w:rsid w:val="26EE6ABA"/>
    <w:rsid w:val="27EF40FF"/>
    <w:rsid w:val="28506A5D"/>
    <w:rsid w:val="285327B8"/>
    <w:rsid w:val="28D449CC"/>
    <w:rsid w:val="296573BD"/>
    <w:rsid w:val="29C51C83"/>
    <w:rsid w:val="2B406E77"/>
    <w:rsid w:val="2BEE7A66"/>
    <w:rsid w:val="2C024ABA"/>
    <w:rsid w:val="2C041FFC"/>
    <w:rsid w:val="2C9E2FB3"/>
    <w:rsid w:val="2D4105F7"/>
    <w:rsid w:val="2E4F3DC6"/>
    <w:rsid w:val="2EF75FD7"/>
    <w:rsid w:val="30EA45E4"/>
    <w:rsid w:val="31055D69"/>
    <w:rsid w:val="31813D45"/>
    <w:rsid w:val="322068F8"/>
    <w:rsid w:val="327F0655"/>
    <w:rsid w:val="327F6603"/>
    <w:rsid w:val="330142D1"/>
    <w:rsid w:val="33AA2C99"/>
    <w:rsid w:val="33E97553"/>
    <w:rsid w:val="361F3C50"/>
    <w:rsid w:val="368A620A"/>
    <w:rsid w:val="36A500CD"/>
    <w:rsid w:val="36FF35FC"/>
    <w:rsid w:val="375D13B4"/>
    <w:rsid w:val="37F039D3"/>
    <w:rsid w:val="38484F39"/>
    <w:rsid w:val="39514668"/>
    <w:rsid w:val="39842205"/>
    <w:rsid w:val="3ABA3424"/>
    <w:rsid w:val="3AC62DEE"/>
    <w:rsid w:val="3AC907E1"/>
    <w:rsid w:val="3B3817B8"/>
    <w:rsid w:val="3B8A1046"/>
    <w:rsid w:val="3C900595"/>
    <w:rsid w:val="3CBC027B"/>
    <w:rsid w:val="3CF95418"/>
    <w:rsid w:val="3E5D02A2"/>
    <w:rsid w:val="408550F2"/>
    <w:rsid w:val="40961C7D"/>
    <w:rsid w:val="40A42BE7"/>
    <w:rsid w:val="40F01745"/>
    <w:rsid w:val="412B3D8B"/>
    <w:rsid w:val="41364AA2"/>
    <w:rsid w:val="419A595C"/>
    <w:rsid w:val="41D0574A"/>
    <w:rsid w:val="42252C51"/>
    <w:rsid w:val="42EA174A"/>
    <w:rsid w:val="431B4C54"/>
    <w:rsid w:val="436B6A17"/>
    <w:rsid w:val="43944103"/>
    <w:rsid w:val="43DB4A8D"/>
    <w:rsid w:val="440D7612"/>
    <w:rsid w:val="446718C2"/>
    <w:rsid w:val="44872A34"/>
    <w:rsid w:val="448D38BC"/>
    <w:rsid w:val="44E441DB"/>
    <w:rsid w:val="45177768"/>
    <w:rsid w:val="452907DC"/>
    <w:rsid w:val="45B21A52"/>
    <w:rsid w:val="45BD3091"/>
    <w:rsid w:val="45F20103"/>
    <w:rsid w:val="46407368"/>
    <w:rsid w:val="46A37CFC"/>
    <w:rsid w:val="46E43293"/>
    <w:rsid w:val="47C77A2A"/>
    <w:rsid w:val="48AB3678"/>
    <w:rsid w:val="48BC15EA"/>
    <w:rsid w:val="493238AA"/>
    <w:rsid w:val="49706721"/>
    <w:rsid w:val="499361CB"/>
    <w:rsid w:val="4A3B687A"/>
    <w:rsid w:val="4B2D350E"/>
    <w:rsid w:val="4D7A209C"/>
    <w:rsid w:val="4D8C033E"/>
    <w:rsid w:val="4DC1483E"/>
    <w:rsid w:val="4DD1020E"/>
    <w:rsid w:val="4F416810"/>
    <w:rsid w:val="4FCD7D2E"/>
    <w:rsid w:val="506C0D6F"/>
    <w:rsid w:val="50BB3908"/>
    <w:rsid w:val="50F47229"/>
    <w:rsid w:val="511419EF"/>
    <w:rsid w:val="511F6738"/>
    <w:rsid w:val="513E2751"/>
    <w:rsid w:val="515A69D1"/>
    <w:rsid w:val="51B178D7"/>
    <w:rsid w:val="51DC2BA6"/>
    <w:rsid w:val="523A5430"/>
    <w:rsid w:val="52632BF1"/>
    <w:rsid w:val="5342512E"/>
    <w:rsid w:val="536430CC"/>
    <w:rsid w:val="564451BE"/>
    <w:rsid w:val="5681080A"/>
    <w:rsid w:val="573345E0"/>
    <w:rsid w:val="573B211D"/>
    <w:rsid w:val="584C1918"/>
    <w:rsid w:val="585E453A"/>
    <w:rsid w:val="58AE35EA"/>
    <w:rsid w:val="5954216B"/>
    <w:rsid w:val="5ADC6E83"/>
    <w:rsid w:val="5B5F6071"/>
    <w:rsid w:val="5B66645B"/>
    <w:rsid w:val="5C2C294E"/>
    <w:rsid w:val="5C49363B"/>
    <w:rsid w:val="5C974299"/>
    <w:rsid w:val="5CE2752C"/>
    <w:rsid w:val="5D035061"/>
    <w:rsid w:val="5D155D4B"/>
    <w:rsid w:val="5D1A3FA0"/>
    <w:rsid w:val="5E520C48"/>
    <w:rsid w:val="5E5501D2"/>
    <w:rsid w:val="5FEF63C2"/>
    <w:rsid w:val="6003026A"/>
    <w:rsid w:val="6017111E"/>
    <w:rsid w:val="60FE7613"/>
    <w:rsid w:val="626B0966"/>
    <w:rsid w:val="628523F9"/>
    <w:rsid w:val="63D00091"/>
    <w:rsid w:val="64E1129F"/>
    <w:rsid w:val="65913C6C"/>
    <w:rsid w:val="662352F5"/>
    <w:rsid w:val="66951346"/>
    <w:rsid w:val="66E31819"/>
    <w:rsid w:val="675A68DE"/>
    <w:rsid w:val="67777492"/>
    <w:rsid w:val="67884A5A"/>
    <w:rsid w:val="6798282A"/>
    <w:rsid w:val="67F6724E"/>
    <w:rsid w:val="693B1F59"/>
    <w:rsid w:val="69AF1AEE"/>
    <w:rsid w:val="6A82547B"/>
    <w:rsid w:val="6B3112BC"/>
    <w:rsid w:val="6BA17C12"/>
    <w:rsid w:val="6BF54B38"/>
    <w:rsid w:val="6C520770"/>
    <w:rsid w:val="6C6B72C3"/>
    <w:rsid w:val="6CAF678B"/>
    <w:rsid w:val="6CCE0B1F"/>
    <w:rsid w:val="6D296EF9"/>
    <w:rsid w:val="6D661161"/>
    <w:rsid w:val="6E59138F"/>
    <w:rsid w:val="6EF62C5A"/>
    <w:rsid w:val="6F0635D9"/>
    <w:rsid w:val="6FB61928"/>
    <w:rsid w:val="709B4428"/>
    <w:rsid w:val="715C23E1"/>
    <w:rsid w:val="716709CB"/>
    <w:rsid w:val="71BC0D4C"/>
    <w:rsid w:val="724B6B29"/>
    <w:rsid w:val="728E42BA"/>
    <w:rsid w:val="72BB3F53"/>
    <w:rsid w:val="73240085"/>
    <w:rsid w:val="74261F1C"/>
    <w:rsid w:val="74782558"/>
    <w:rsid w:val="74A532C7"/>
    <w:rsid w:val="74EF0916"/>
    <w:rsid w:val="75CE3A33"/>
    <w:rsid w:val="75FC7767"/>
    <w:rsid w:val="76227599"/>
    <w:rsid w:val="76B16C76"/>
    <w:rsid w:val="778644D1"/>
    <w:rsid w:val="77BE13AF"/>
    <w:rsid w:val="781D6B04"/>
    <w:rsid w:val="79507A76"/>
    <w:rsid w:val="79D10F36"/>
    <w:rsid w:val="7A0A132F"/>
    <w:rsid w:val="7A254F32"/>
    <w:rsid w:val="7A763BE2"/>
    <w:rsid w:val="7AC30897"/>
    <w:rsid w:val="7B5B6C66"/>
    <w:rsid w:val="7CA43D01"/>
    <w:rsid w:val="7CE9151E"/>
    <w:rsid w:val="7CF80367"/>
    <w:rsid w:val="7D0659BE"/>
    <w:rsid w:val="7DAC7B19"/>
    <w:rsid w:val="7F4224C1"/>
    <w:rsid w:val="7F4B5085"/>
    <w:rsid w:val="7F806D7E"/>
    <w:rsid w:val="7FD744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paragraph" w:customStyle="1" w:styleId="9">
    <w:name w:val="Table Text"/>
    <w:basedOn w:val="1"/>
    <w:semiHidden/>
    <w:qFormat/>
    <w:uiPriority w:val="0"/>
    <w:rPr>
      <w:rFonts w:ascii="宋体" w:hAnsi="宋体" w:eastAsia="宋体" w:cs="宋体"/>
      <w:sz w:val="20"/>
      <w:szCs w:val="20"/>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557</Words>
  <Characters>712</Characters>
  <Lines>7</Lines>
  <Paragraphs>2</Paragraphs>
  <TotalTime>0</TotalTime>
  <ScaleCrop>false</ScaleCrop>
  <LinksUpToDate>false</LinksUpToDate>
  <CharactersWithSpaces>725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2016-07-01T01:51:00Z</dcterms:created>
  <dc:creator>Administrator</dc:creator>
  <cp:lastModifiedBy>あ嬡哦ザ</cp:lastModifiedBy>
  <cp:lastPrinted>2021-04-28T02:20:00Z</cp:lastPrinted>
  <dcterms:modified xsi:type="dcterms:W3CDTF">2023-12-23T03:46:10Z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F684C95A09C444C99E629A04E5FF64F3_13</vt:lpwstr>
  </property>
</Properties>
</file>